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4899" w:rsidRPr="00254899" w:rsidRDefault="00254899" w:rsidP="00254899">
      <w:pPr>
        <w:ind w:left="720" w:hanging="720"/>
        <w:rPr>
          <w:rFonts w:ascii="Arial" w:hAnsi="Arial" w:cs="Arial"/>
          <w:b/>
          <w:sz w:val="20"/>
          <w:szCs w:val="20"/>
          <w:u w:val="single"/>
        </w:rPr>
      </w:pPr>
      <w:r w:rsidRPr="00254899">
        <w:rPr>
          <w:rFonts w:ascii="Arial" w:hAnsi="Arial" w:cs="Arial"/>
          <w:b/>
          <w:sz w:val="20"/>
          <w:szCs w:val="20"/>
          <w:u w:val="single"/>
        </w:rPr>
        <w:t>EBTRON SPECIFICATION FOR DUCT MOUNTED FLOW MEASUREMENT:</w:t>
      </w:r>
    </w:p>
    <w:p w:rsidR="00254899" w:rsidRDefault="00254899" w:rsidP="00254899">
      <w:pPr>
        <w:ind w:left="720" w:hanging="720"/>
        <w:rPr>
          <w:rFonts w:ascii="Arial" w:hAnsi="Arial" w:cs="Arial"/>
          <w:sz w:val="20"/>
          <w:szCs w:val="20"/>
        </w:rPr>
      </w:pPr>
    </w:p>
    <w:p w:rsidR="00254899" w:rsidRDefault="00254899" w:rsidP="00254899">
      <w:pPr>
        <w:ind w:left="720" w:hanging="720"/>
        <w:rPr>
          <w:rFonts w:ascii="Arial" w:hAnsi="Arial" w:cs="Arial"/>
          <w:sz w:val="20"/>
          <w:szCs w:val="20"/>
        </w:rPr>
      </w:pPr>
    </w:p>
    <w:p w:rsidR="00254899" w:rsidRDefault="00254899" w:rsidP="00254899">
      <w:pPr>
        <w:ind w:left="720" w:hanging="720"/>
        <w:rPr>
          <w:rFonts w:ascii="Arial" w:hAnsi="Arial" w:cs="Arial"/>
          <w:sz w:val="20"/>
          <w:szCs w:val="20"/>
        </w:rPr>
      </w:pPr>
    </w:p>
    <w:p w:rsidR="00254899" w:rsidRDefault="00254899" w:rsidP="00254899">
      <w:pPr>
        <w:ind w:left="720" w:hanging="720"/>
        <w:rPr>
          <w:rFonts w:ascii="Arial" w:hAnsi="Arial" w:cs="Arial"/>
          <w:sz w:val="20"/>
          <w:szCs w:val="20"/>
        </w:rPr>
      </w:pPr>
      <w:r>
        <w:rPr>
          <w:rFonts w:ascii="Arial" w:hAnsi="Arial" w:cs="Arial"/>
          <w:sz w:val="20"/>
          <w:szCs w:val="20"/>
        </w:rPr>
        <w:t>PART 2             PRODUCTS</w:t>
      </w:r>
    </w:p>
    <w:p w:rsidR="00254899" w:rsidRDefault="00254899" w:rsidP="00254899">
      <w:pPr>
        <w:rPr>
          <w:rFonts w:ascii="Arial" w:hAnsi="Arial" w:cs="Arial"/>
          <w:sz w:val="20"/>
          <w:szCs w:val="20"/>
        </w:rPr>
      </w:pPr>
    </w:p>
    <w:p w:rsidR="00254899" w:rsidRDefault="00254899" w:rsidP="00254899">
      <w:pPr>
        <w:rPr>
          <w:rFonts w:ascii="Arial" w:hAnsi="Arial" w:cs="Arial"/>
          <w:sz w:val="20"/>
          <w:szCs w:val="20"/>
        </w:rPr>
      </w:pPr>
      <w:r>
        <w:rPr>
          <w:rFonts w:ascii="Arial" w:hAnsi="Arial" w:cs="Arial"/>
          <w:sz w:val="20"/>
          <w:szCs w:val="20"/>
        </w:rPr>
        <w:t xml:space="preserve">2.1        PRODUCTS INCLUDED IN THIS SECTION </w:t>
      </w:r>
    </w:p>
    <w:p w:rsidR="00254899" w:rsidRDefault="00254899" w:rsidP="00254899">
      <w:pPr>
        <w:ind w:left="1080" w:hanging="360"/>
        <w:rPr>
          <w:rFonts w:ascii="Arial" w:hAnsi="Arial" w:cs="Arial"/>
          <w:sz w:val="20"/>
          <w:szCs w:val="20"/>
        </w:rPr>
      </w:pPr>
      <w:r>
        <w:rPr>
          <w:rFonts w:ascii="Arial" w:hAnsi="Arial" w:cs="Arial"/>
          <w:sz w:val="20"/>
          <w:szCs w:val="20"/>
        </w:rPr>
        <w:t>A.   Duct and plenum mounted airflow and temperature measurement devices</w:t>
      </w:r>
    </w:p>
    <w:p w:rsidR="00254899" w:rsidRDefault="00254899" w:rsidP="00254899">
      <w:pPr>
        <w:ind w:left="720" w:hanging="720"/>
        <w:rPr>
          <w:rFonts w:ascii="Arial" w:hAnsi="Arial" w:cs="Arial"/>
          <w:sz w:val="20"/>
          <w:szCs w:val="20"/>
        </w:rPr>
      </w:pPr>
      <w:r>
        <w:rPr>
          <w:rFonts w:ascii="Arial" w:hAnsi="Arial" w:cs="Arial"/>
          <w:sz w:val="20"/>
          <w:szCs w:val="20"/>
        </w:rPr>
        <w:t>2.2        ACCEPTABLE MANUFACTURERS and MODELS</w:t>
      </w:r>
    </w:p>
    <w:p w:rsidR="00254899" w:rsidRDefault="00254899" w:rsidP="00254899">
      <w:pPr>
        <w:pStyle w:val="default"/>
        <w:ind w:left="1008" w:hanging="288"/>
        <w:rPr>
          <w:rFonts w:ascii="Arial" w:hAnsi="Arial" w:cs="Arial"/>
          <w:color w:val="auto"/>
          <w:sz w:val="20"/>
          <w:szCs w:val="20"/>
        </w:rPr>
      </w:pPr>
      <w:r>
        <w:rPr>
          <w:rFonts w:ascii="Arial" w:hAnsi="Arial" w:cs="Arial"/>
          <w:color w:val="auto"/>
          <w:sz w:val="20"/>
          <w:szCs w:val="20"/>
        </w:rPr>
        <w:t xml:space="preserve">A.  Subject to compliance with all requirements of this section, provide products that comply with this specification by one of tile following vendors: </w:t>
      </w:r>
    </w:p>
    <w:p w:rsidR="00254899" w:rsidRDefault="00254899" w:rsidP="00254899">
      <w:pPr>
        <w:pStyle w:val="default"/>
        <w:ind w:left="1296" w:hanging="288"/>
        <w:rPr>
          <w:rFonts w:ascii="Arial" w:hAnsi="Arial" w:cs="Arial"/>
          <w:color w:val="auto"/>
          <w:sz w:val="20"/>
          <w:szCs w:val="20"/>
        </w:rPr>
      </w:pPr>
      <w:r>
        <w:rPr>
          <w:rFonts w:ascii="Arial" w:hAnsi="Arial" w:cs="Arial"/>
          <w:color w:val="auto"/>
          <w:sz w:val="20"/>
          <w:szCs w:val="20"/>
        </w:rPr>
        <w:t xml:space="preserve">1.  </w:t>
      </w:r>
      <w:r w:rsidR="00D23E49">
        <w:rPr>
          <w:rFonts w:ascii="Arial" w:hAnsi="Arial" w:cs="Arial"/>
          <w:b/>
          <w:color w:val="auto"/>
          <w:sz w:val="20"/>
          <w:szCs w:val="20"/>
          <w:u w:val="single"/>
        </w:rPr>
        <w:t>EBTRON, Inc. Model GTC116-P+</w:t>
      </w:r>
      <w:r w:rsidRPr="00254899">
        <w:rPr>
          <w:rFonts w:ascii="Arial" w:hAnsi="Arial" w:cs="Arial"/>
          <w:b/>
          <w:color w:val="auto"/>
          <w:sz w:val="20"/>
          <w:szCs w:val="20"/>
          <w:u w:val="single"/>
        </w:rPr>
        <w:t xml:space="preserve"> (basis of design)</w:t>
      </w:r>
      <w:r>
        <w:rPr>
          <w:rFonts w:ascii="Arial" w:hAnsi="Arial" w:cs="Arial"/>
          <w:color w:val="auto"/>
          <w:sz w:val="20"/>
          <w:szCs w:val="20"/>
        </w:rPr>
        <w:t xml:space="preserve"> </w:t>
      </w:r>
    </w:p>
    <w:p w:rsidR="00254899" w:rsidRDefault="00254899" w:rsidP="00254899">
      <w:pPr>
        <w:pStyle w:val="default"/>
        <w:ind w:left="1584" w:hanging="288"/>
        <w:rPr>
          <w:rFonts w:ascii="Arial" w:hAnsi="Arial" w:cs="Arial"/>
          <w:color w:val="auto"/>
          <w:sz w:val="20"/>
          <w:szCs w:val="20"/>
        </w:rPr>
      </w:pPr>
      <w:r>
        <w:rPr>
          <w:rFonts w:ascii="Arial" w:hAnsi="Arial" w:cs="Arial"/>
          <w:color w:val="auto"/>
          <w:sz w:val="20"/>
          <w:szCs w:val="20"/>
        </w:rPr>
        <w:t xml:space="preserve">a)  All other vendors shall be considered as substitutions only.  Substitutions for the basis of design requesting acceptance less than 30 days prior to bid date or products submitted in non-conformance with the requirements of this specification will not be considered. </w:t>
      </w:r>
    </w:p>
    <w:p w:rsidR="00254899" w:rsidRDefault="00254899" w:rsidP="00254899">
      <w:pPr>
        <w:pStyle w:val="default"/>
        <w:ind w:left="1584" w:hanging="288"/>
        <w:rPr>
          <w:rFonts w:ascii="Arial" w:hAnsi="Arial" w:cs="Arial"/>
          <w:color w:val="auto"/>
          <w:sz w:val="20"/>
          <w:szCs w:val="20"/>
        </w:rPr>
      </w:pPr>
      <w:r>
        <w:rPr>
          <w:rFonts w:ascii="Arial" w:hAnsi="Arial" w:cs="Arial"/>
          <w:color w:val="auto"/>
          <w:sz w:val="20"/>
          <w:szCs w:val="20"/>
        </w:rPr>
        <w:t>b)  For any product or assembly to be considered for substitution, a written request shall be submitted to the engineer detailing exceptions and compliance items within this specification, section-by-section with supporting documentation, before an approval will be considered.</w:t>
      </w:r>
    </w:p>
    <w:p w:rsidR="00254899" w:rsidRDefault="00254899" w:rsidP="00254899">
      <w:pPr>
        <w:pStyle w:val="default"/>
        <w:ind w:left="1584" w:hanging="288"/>
        <w:rPr>
          <w:rFonts w:ascii="Arial" w:hAnsi="Arial" w:cs="Arial"/>
          <w:color w:val="auto"/>
          <w:sz w:val="20"/>
          <w:szCs w:val="20"/>
        </w:rPr>
      </w:pPr>
      <w:r>
        <w:rPr>
          <w:rFonts w:ascii="Arial" w:hAnsi="Arial" w:cs="Arial"/>
          <w:color w:val="auto"/>
          <w:sz w:val="20"/>
          <w:szCs w:val="20"/>
        </w:rPr>
        <w:t>c)  Any product submitted as an equal shall be expected to comply with all performance, capabilities and functional aspects of this specification.  Submitting vendors will also be required to present a functioning, non-fan powered, 120VAC demonstration sample for review in the specifying engineer’s office.  Nonfunctioning samples will not be considered and submissions will be rejected.</w:t>
      </w:r>
    </w:p>
    <w:p w:rsidR="00254899" w:rsidRDefault="00254899" w:rsidP="00254899">
      <w:pPr>
        <w:ind w:left="1080" w:hanging="360"/>
        <w:rPr>
          <w:rFonts w:ascii="Arial" w:hAnsi="Arial" w:cs="Arial"/>
          <w:sz w:val="20"/>
          <w:szCs w:val="20"/>
        </w:rPr>
      </w:pPr>
      <w:r>
        <w:rPr>
          <w:rFonts w:ascii="Arial" w:hAnsi="Arial" w:cs="Arial"/>
          <w:sz w:val="20"/>
          <w:szCs w:val="20"/>
        </w:rPr>
        <w:t xml:space="preserve">B.   Upon submission, the following alternates will be acceptable, if configured to meet all of the performance requirements and functions detailed within this specification: </w:t>
      </w:r>
    </w:p>
    <w:p w:rsidR="00254899" w:rsidRDefault="00254899" w:rsidP="00254899">
      <w:pPr>
        <w:pStyle w:val="default"/>
        <w:ind w:left="1080"/>
        <w:rPr>
          <w:rFonts w:ascii="Arial" w:hAnsi="Arial" w:cs="Arial"/>
          <w:color w:val="auto"/>
          <w:sz w:val="20"/>
          <w:szCs w:val="20"/>
        </w:rPr>
      </w:pPr>
      <w:r>
        <w:rPr>
          <w:rFonts w:ascii="Arial" w:hAnsi="Arial" w:cs="Arial"/>
          <w:color w:val="auto"/>
          <w:sz w:val="20"/>
          <w:szCs w:val="20"/>
        </w:rPr>
        <w:t>1.   Kurz Instruments</w:t>
      </w:r>
    </w:p>
    <w:p w:rsidR="00254899" w:rsidRDefault="00254899" w:rsidP="00254899">
      <w:pPr>
        <w:pStyle w:val="default"/>
        <w:ind w:left="1080"/>
        <w:rPr>
          <w:rFonts w:ascii="Arial" w:hAnsi="Arial" w:cs="Arial"/>
          <w:color w:val="auto"/>
          <w:sz w:val="20"/>
          <w:szCs w:val="20"/>
        </w:rPr>
      </w:pPr>
      <w:r>
        <w:rPr>
          <w:rFonts w:ascii="Arial" w:hAnsi="Arial" w:cs="Arial"/>
          <w:color w:val="auto"/>
          <w:sz w:val="20"/>
          <w:szCs w:val="20"/>
        </w:rPr>
        <w:t>2.   Sierra Instruments</w:t>
      </w:r>
    </w:p>
    <w:p w:rsidR="00254899" w:rsidRDefault="00254899" w:rsidP="00254899">
      <w:pPr>
        <w:pStyle w:val="default"/>
        <w:ind w:left="1080"/>
        <w:rPr>
          <w:rFonts w:ascii="Arial" w:hAnsi="Arial" w:cs="Arial"/>
          <w:color w:val="auto"/>
          <w:sz w:val="20"/>
          <w:szCs w:val="20"/>
        </w:rPr>
      </w:pPr>
      <w:r>
        <w:rPr>
          <w:rFonts w:ascii="Arial" w:hAnsi="Arial" w:cs="Arial"/>
          <w:color w:val="auto"/>
          <w:sz w:val="20"/>
          <w:szCs w:val="20"/>
        </w:rPr>
        <w:t>3.   FCI</w:t>
      </w:r>
    </w:p>
    <w:p w:rsidR="00254899" w:rsidRDefault="00254899" w:rsidP="00254899">
      <w:pPr>
        <w:ind w:left="1080" w:hanging="360"/>
        <w:rPr>
          <w:rFonts w:ascii="Arial" w:hAnsi="Arial" w:cs="Arial"/>
          <w:sz w:val="20"/>
          <w:szCs w:val="20"/>
        </w:rPr>
      </w:pPr>
      <w:r>
        <w:rPr>
          <w:rFonts w:ascii="Arial" w:hAnsi="Arial" w:cs="Arial"/>
          <w:sz w:val="20"/>
          <w:szCs w:val="20"/>
        </w:rPr>
        <w:t>C.   The following specific technologies are excluded.</w:t>
      </w:r>
    </w:p>
    <w:p w:rsidR="00254899" w:rsidRDefault="00254899" w:rsidP="00254899">
      <w:pPr>
        <w:pStyle w:val="default"/>
        <w:ind w:left="1080"/>
        <w:rPr>
          <w:rFonts w:ascii="Arial" w:hAnsi="Arial" w:cs="Arial"/>
          <w:color w:val="auto"/>
          <w:sz w:val="20"/>
          <w:szCs w:val="20"/>
        </w:rPr>
      </w:pPr>
      <w:r>
        <w:rPr>
          <w:rFonts w:ascii="Arial" w:hAnsi="Arial" w:cs="Arial"/>
          <w:color w:val="auto"/>
          <w:sz w:val="20"/>
          <w:szCs w:val="20"/>
        </w:rPr>
        <w:t xml:space="preserve">1.   Vortex shedding devices are not acceptable. </w:t>
      </w:r>
    </w:p>
    <w:p w:rsidR="00254899" w:rsidRDefault="00254899" w:rsidP="00254899">
      <w:pPr>
        <w:ind w:left="1440" w:hanging="360"/>
        <w:rPr>
          <w:rFonts w:ascii="Arial" w:hAnsi="Arial" w:cs="Arial"/>
          <w:sz w:val="20"/>
          <w:szCs w:val="20"/>
        </w:rPr>
      </w:pPr>
      <w:r>
        <w:rPr>
          <w:rFonts w:ascii="Arial" w:hAnsi="Arial" w:cs="Arial"/>
          <w:sz w:val="20"/>
          <w:szCs w:val="20"/>
        </w:rPr>
        <w:t xml:space="preserve">2.   Pitot tubes, arrays, Piezo rings and other differential pressure based devices are not acceptable. </w:t>
      </w:r>
    </w:p>
    <w:p w:rsidR="00254899" w:rsidRDefault="00254899" w:rsidP="00254899">
      <w:pPr>
        <w:pStyle w:val="default"/>
        <w:ind w:left="1584" w:hanging="288"/>
        <w:rPr>
          <w:rFonts w:ascii="Arial" w:hAnsi="Arial" w:cs="Arial"/>
          <w:color w:val="auto"/>
          <w:sz w:val="20"/>
          <w:szCs w:val="20"/>
        </w:rPr>
      </w:pPr>
    </w:p>
    <w:p w:rsidR="00254899" w:rsidRDefault="00254899" w:rsidP="00254899">
      <w:pPr>
        <w:ind w:left="720" w:hanging="720"/>
        <w:rPr>
          <w:rFonts w:ascii="Arial" w:hAnsi="Arial" w:cs="Arial"/>
          <w:sz w:val="20"/>
          <w:szCs w:val="20"/>
        </w:rPr>
      </w:pPr>
      <w:r>
        <w:rPr>
          <w:rFonts w:ascii="Arial" w:hAnsi="Arial" w:cs="Arial"/>
          <w:sz w:val="20"/>
          <w:szCs w:val="20"/>
        </w:rPr>
        <w:t xml:space="preserve">2.3        AIRFLOW / TEMPERATURE MEASUREMENT DEVICES </w:t>
      </w:r>
    </w:p>
    <w:p w:rsidR="00254899" w:rsidRDefault="00254899" w:rsidP="00254899">
      <w:pPr>
        <w:ind w:left="1080" w:hanging="360"/>
        <w:rPr>
          <w:rFonts w:ascii="Arial" w:hAnsi="Arial" w:cs="Arial"/>
          <w:sz w:val="20"/>
          <w:szCs w:val="20"/>
        </w:rPr>
      </w:pPr>
      <w:r>
        <w:rPr>
          <w:rFonts w:ascii="Arial" w:hAnsi="Arial" w:cs="Arial"/>
          <w:sz w:val="20"/>
          <w:szCs w:val="20"/>
        </w:rPr>
        <w:t>A.   Provide one thermal dispersion airflow/temperature measurement device (ATMD) at each location indicated on the plans, schedules and/or control schematics.</w:t>
      </w:r>
    </w:p>
    <w:p w:rsidR="00254899" w:rsidRDefault="00254899" w:rsidP="00254899">
      <w:pPr>
        <w:ind w:left="1440" w:hanging="360"/>
        <w:rPr>
          <w:rFonts w:ascii="Arial" w:hAnsi="Arial" w:cs="Arial"/>
          <w:sz w:val="20"/>
          <w:szCs w:val="20"/>
        </w:rPr>
      </w:pPr>
      <w:r>
        <w:rPr>
          <w:rFonts w:ascii="Arial" w:hAnsi="Arial" w:cs="Arial"/>
          <w:sz w:val="20"/>
          <w:szCs w:val="20"/>
        </w:rPr>
        <w:t xml:space="preserve">1.   Fan inlet measurement devices shall not be used unless indicated on drawings or schedules.  </w:t>
      </w:r>
    </w:p>
    <w:p w:rsidR="00254899" w:rsidRDefault="00254899" w:rsidP="00254899">
      <w:pPr>
        <w:ind w:left="1440" w:hanging="360"/>
        <w:rPr>
          <w:rFonts w:ascii="Arial" w:hAnsi="Arial" w:cs="Arial"/>
          <w:sz w:val="20"/>
          <w:szCs w:val="20"/>
        </w:rPr>
      </w:pPr>
      <w:r>
        <w:rPr>
          <w:rFonts w:ascii="Arial" w:hAnsi="Arial" w:cs="Arial"/>
          <w:sz w:val="20"/>
          <w:szCs w:val="20"/>
        </w:rPr>
        <w:t>2.   Each ATMD shall consist of one to four sensor probes and a single, remote transmitter.  Each sensor probe shall consist of one to eight independent sensor nodes in a gold anodized, aluminum 6063 alloy tube with 304 stainless steel mounting brackets.</w:t>
      </w:r>
    </w:p>
    <w:p w:rsidR="00254899" w:rsidRDefault="00254899" w:rsidP="00254899">
      <w:pPr>
        <w:ind w:left="1440" w:hanging="360"/>
        <w:rPr>
          <w:rFonts w:ascii="Arial" w:hAnsi="Arial" w:cs="Arial"/>
          <w:sz w:val="20"/>
          <w:szCs w:val="20"/>
        </w:rPr>
      </w:pPr>
      <w:r>
        <w:rPr>
          <w:rFonts w:ascii="Arial" w:hAnsi="Arial" w:cs="Arial"/>
          <w:sz w:val="20"/>
          <w:szCs w:val="20"/>
        </w:rPr>
        <w:t>3.   Each sensor node shall consist of two hermetically sealed bead-in-glass thermistors.  Chip thermistors of any type or packaging are not acceptable.</w:t>
      </w:r>
    </w:p>
    <w:p w:rsidR="00254899" w:rsidRDefault="00254899" w:rsidP="00254899">
      <w:pPr>
        <w:ind w:left="1440" w:hanging="360"/>
        <w:rPr>
          <w:rFonts w:ascii="Arial" w:hAnsi="Arial" w:cs="Arial"/>
          <w:sz w:val="20"/>
          <w:szCs w:val="20"/>
        </w:rPr>
      </w:pPr>
      <w:r>
        <w:rPr>
          <w:rFonts w:ascii="Arial" w:hAnsi="Arial" w:cs="Arial"/>
          <w:sz w:val="20"/>
          <w:szCs w:val="20"/>
        </w:rPr>
        <w:t>4.   The temperature output of the ATMD can be used in place of the specified temperature measuring device (TMD) when the location of the ATMD and TMD are effectively the same.</w:t>
      </w:r>
    </w:p>
    <w:p w:rsidR="00254899" w:rsidRDefault="00254899" w:rsidP="00254899">
      <w:pPr>
        <w:ind w:left="1440" w:hanging="360"/>
        <w:rPr>
          <w:rFonts w:ascii="Arial" w:hAnsi="Arial" w:cs="Arial"/>
          <w:sz w:val="20"/>
          <w:szCs w:val="20"/>
        </w:rPr>
      </w:pPr>
      <w:r>
        <w:rPr>
          <w:rFonts w:ascii="Arial" w:hAnsi="Arial" w:cs="Arial"/>
          <w:sz w:val="20"/>
          <w:szCs w:val="20"/>
        </w:rPr>
        <w:t xml:space="preserve">5.   Sensor Density Requirements: </w:t>
      </w:r>
    </w:p>
    <w:p w:rsidR="00254899" w:rsidRDefault="00254899" w:rsidP="00254899">
      <w:pPr>
        <w:ind w:left="1800" w:hanging="360"/>
        <w:rPr>
          <w:rFonts w:ascii="Arial" w:hAnsi="Arial" w:cs="Arial"/>
          <w:sz w:val="20"/>
          <w:szCs w:val="20"/>
        </w:rPr>
      </w:pPr>
      <w:r>
        <w:rPr>
          <w:rFonts w:ascii="Arial" w:hAnsi="Arial" w:cs="Arial"/>
          <w:sz w:val="20"/>
          <w:szCs w:val="20"/>
        </w:rPr>
        <w:t xml:space="preserve">a)   Sensor density (#/area) affects minimum installed distances required from disturbance types.  Published sensor density data by the product manufacturer shall be submitted for approval. </w:t>
      </w:r>
    </w:p>
    <w:p w:rsidR="00254899" w:rsidRDefault="00254899" w:rsidP="00254899">
      <w:pPr>
        <w:ind w:left="1800" w:hanging="360"/>
        <w:rPr>
          <w:rFonts w:ascii="Arial" w:hAnsi="Arial" w:cs="Arial"/>
          <w:sz w:val="20"/>
          <w:szCs w:val="20"/>
        </w:rPr>
      </w:pPr>
      <w:r>
        <w:rPr>
          <w:rFonts w:ascii="Arial" w:hAnsi="Arial" w:cs="Arial"/>
          <w:sz w:val="20"/>
          <w:szCs w:val="20"/>
        </w:rPr>
        <w:t>b)   Should there be no published document indicating these relationships for a particular product, the number of individual sensor nodes provided for each rectangular location shall be as follows:</w:t>
      </w:r>
    </w:p>
    <w:p w:rsidR="00254899" w:rsidRDefault="00254899" w:rsidP="00254899">
      <w:pPr>
        <w:ind w:left="3240" w:hanging="360"/>
        <w:rPr>
          <w:rFonts w:ascii="Arial" w:hAnsi="Arial" w:cs="Arial"/>
          <w:sz w:val="20"/>
          <w:szCs w:val="20"/>
        </w:rPr>
      </w:pPr>
    </w:p>
    <w:tbl>
      <w:tblPr>
        <w:tblW w:w="0" w:type="auto"/>
        <w:jc w:val="center"/>
        <w:tblInd w:w="2520" w:type="dxa"/>
        <w:tblCellMar>
          <w:left w:w="0" w:type="dxa"/>
          <w:right w:w="0" w:type="dxa"/>
        </w:tblCellMar>
        <w:tblLook w:val="04A0" w:firstRow="1" w:lastRow="0" w:firstColumn="1" w:lastColumn="0" w:noHBand="0" w:noVBand="1"/>
      </w:tblPr>
      <w:tblGrid>
        <w:gridCol w:w="1728"/>
        <w:gridCol w:w="1800"/>
        <w:gridCol w:w="1980"/>
      </w:tblGrid>
      <w:tr w:rsidR="00254899" w:rsidTr="00254899">
        <w:trPr>
          <w:jc w:val="center"/>
        </w:trPr>
        <w:tc>
          <w:tcPr>
            <w:tcW w:w="1728" w:type="dxa"/>
            <w:vAlign w:val="center"/>
            <w:hideMark/>
          </w:tcPr>
          <w:p w:rsidR="00254899" w:rsidRDefault="00254899">
            <w:pPr>
              <w:pStyle w:val="pr4"/>
              <w:jc w:val="center"/>
              <w:rPr>
                <w:rFonts w:ascii="Arial" w:hAnsi="Arial" w:cs="Arial"/>
                <w:sz w:val="20"/>
                <w:szCs w:val="20"/>
              </w:rPr>
            </w:pPr>
            <w:r>
              <w:rPr>
                <w:rFonts w:ascii="Arial" w:hAnsi="Arial" w:cs="Arial"/>
                <w:sz w:val="20"/>
                <w:szCs w:val="20"/>
              </w:rPr>
              <w:lastRenderedPageBreak/>
              <w:t>Duct or Plenum Area (ft</w:t>
            </w:r>
            <w:r>
              <w:rPr>
                <w:rFonts w:ascii="Arial" w:hAnsi="Arial" w:cs="Arial"/>
                <w:sz w:val="20"/>
                <w:szCs w:val="20"/>
                <w:vertAlign w:val="superscript"/>
              </w:rPr>
              <w:t>2</w:t>
            </w:r>
            <w:r>
              <w:rPr>
                <w:rFonts w:ascii="Arial" w:hAnsi="Arial" w:cs="Arial"/>
                <w:sz w:val="20"/>
                <w:szCs w:val="20"/>
              </w:rPr>
              <w:t>)</w:t>
            </w:r>
          </w:p>
        </w:tc>
        <w:tc>
          <w:tcPr>
            <w:tcW w:w="1800" w:type="dxa"/>
            <w:vAlign w:val="center"/>
            <w:hideMark/>
          </w:tcPr>
          <w:p w:rsidR="00254899" w:rsidRDefault="00254899">
            <w:pPr>
              <w:pStyle w:val="pr4"/>
              <w:jc w:val="center"/>
              <w:rPr>
                <w:rFonts w:ascii="Arial" w:hAnsi="Arial" w:cs="Arial"/>
                <w:sz w:val="20"/>
                <w:szCs w:val="20"/>
              </w:rPr>
            </w:pPr>
            <w:r>
              <w:rPr>
                <w:rFonts w:ascii="Arial" w:hAnsi="Arial" w:cs="Arial"/>
                <w:sz w:val="20"/>
                <w:szCs w:val="20"/>
              </w:rPr>
              <w:t>Total # Nodes / Location</w:t>
            </w:r>
          </w:p>
        </w:tc>
        <w:tc>
          <w:tcPr>
            <w:tcW w:w="1980" w:type="dxa"/>
            <w:vAlign w:val="center"/>
            <w:hideMark/>
          </w:tcPr>
          <w:p w:rsidR="00254899" w:rsidRDefault="00254899">
            <w:pPr>
              <w:pStyle w:val="pr4"/>
              <w:jc w:val="center"/>
              <w:rPr>
                <w:rFonts w:ascii="Arial" w:hAnsi="Arial" w:cs="Arial"/>
                <w:sz w:val="20"/>
                <w:szCs w:val="20"/>
              </w:rPr>
            </w:pPr>
            <w:r>
              <w:rPr>
                <w:rFonts w:ascii="Arial" w:hAnsi="Arial" w:cs="Arial"/>
                <w:sz w:val="20"/>
                <w:szCs w:val="20"/>
              </w:rPr>
              <w:t>Duct or Plenum Area (m</w:t>
            </w:r>
            <w:r>
              <w:rPr>
                <w:rFonts w:ascii="Arial" w:hAnsi="Arial" w:cs="Arial"/>
                <w:sz w:val="20"/>
                <w:szCs w:val="20"/>
                <w:vertAlign w:val="superscript"/>
              </w:rPr>
              <w:t>2</w:t>
            </w:r>
            <w:r>
              <w:rPr>
                <w:rFonts w:ascii="Arial" w:hAnsi="Arial" w:cs="Arial"/>
                <w:sz w:val="20"/>
                <w:szCs w:val="20"/>
              </w:rPr>
              <w:t>)</w:t>
            </w:r>
          </w:p>
        </w:tc>
      </w:tr>
      <w:tr w:rsidR="00254899" w:rsidTr="00254899">
        <w:trPr>
          <w:jc w:val="center"/>
        </w:trPr>
        <w:tc>
          <w:tcPr>
            <w:tcW w:w="1728" w:type="dxa"/>
            <w:vAlign w:val="bottom"/>
            <w:hideMark/>
          </w:tcPr>
          <w:p w:rsidR="00254899" w:rsidRDefault="00254899">
            <w:pPr>
              <w:jc w:val="center"/>
              <w:rPr>
                <w:rFonts w:ascii="Arial" w:hAnsi="Arial" w:cs="Arial"/>
                <w:sz w:val="20"/>
                <w:szCs w:val="20"/>
              </w:rPr>
            </w:pPr>
            <w:r>
              <w:rPr>
                <w:rFonts w:ascii="Arial" w:hAnsi="Arial" w:cs="Arial"/>
                <w:sz w:val="20"/>
                <w:szCs w:val="20"/>
              </w:rPr>
              <w:t>&lt;= 1</w:t>
            </w:r>
          </w:p>
        </w:tc>
        <w:tc>
          <w:tcPr>
            <w:tcW w:w="1800" w:type="dxa"/>
            <w:vAlign w:val="bottom"/>
            <w:hideMark/>
          </w:tcPr>
          <w:p w:rsidR="00254899" w:rsidRDefault="00254899">
            <w:pPr>
              <w:jc w:val="center"/>
              <w:rPr>
                <w:rFonts w:ascii="Arial" w:hAnsi="Arial" w:cs="Arial"/>
                <w:b/>
                <w:bCs/>
                <w:sz w:val="20"/>
                <w:szCs w:val="20"/>
              </w:rPr>
            </w:pPr>
            <w:r>
              <w:rPr>
                <w:rFonts w:ascii="Arial" w:hAnsi="Arial" w:cs="Arial"/>
                <w:b/>
                <w:bCs/>
                <w:sz w:val="20"/>
                <w:szCs w:val="20"/>
              </w:rPr>
              <w:t>1 or 2</w:t>
            </w:r>
          </w:p>
        </w:tc>
        <w:tc>
          <w:tcPr>
            <w:tcW w:w="1980" w:type="dxa"/>
            <w:vAlign w:val="bottom"/>
            <w:hideMark/>
          </w:tcPr>
          <w:p w:rsidR="00254899" w:rsidRDefault="00254899">
            <w:pPr>
              <w:jc w:val="center"/>
              <w:rPr>
                <w:rFonts w:ascii="Arial" w:hAnsi="Arial" w:cs="Arial"/>
                <w:sz w:val="20"/>
                <w:szCs w:val="20"/>
              </w:rPr>
            </w:pPr>
            <w:r>
              <w:rPr>
                <w:rFonts w:ascii="Arial" w:hAnsi="Arial" w:cs="Arial"/>
                <w:sz w:val="20"/>
                <w:szCs w:val="20"/>
              </w:rPr>
              <w:t>&lt;= 0.093</w:t>
            </w:r>
          </w:p>
        </w:tc>
      </w:tr>
      <w:tr w:rsidR="00254899" w:rsidTr="00254899">
        <w:trPr>
          <w:jc w:val="center"/>
        </w:trPr>
        <w:tc>
          <w:tcPr>
            <w:tcW w:w="1728" w:type="dxa"/>
            <w:vAlign w:val="bottom"/>
            <w:hideMark/>
          </w:tcPr>
          <w:p w:rsidR="00254899" w:rsidRDefault="00254899">
            <w:pPr>
              <w:jc w:val="center"/>
              <w:rPr>
                <w:rFonts w:ascii="Arial" w:hAnsi="Arial" w:cs="Arial"/>
                <w:sz w:val="20"/>
                <w:szCs w:val="20"/>
              </w:rPr>
            </w:pPr>
            <w:r>
              <w:rPr>
                <w:rFonts w:ascii="Arial" w:hAnsi="Arial" w:cs="Arial"/>
                <w:sz w:val="20"/>
                <w:szCs w:val="20"/>
              </w:rPr>
              <w:t>&gt;1 to &lt;4</w:t>
            </w:r>
          </w:p>
        </w:tc>
        <w:tc>
          <w:tcPr>
            <w:tcW w:w="1800" w:type="dxa"/>
            <w:vAlign w:val="bottom"/>
            <w:hideMark/>
          </w:tcPr>
          <w:p w:rsidR="00254899" w:rsidRDefault="00254899">
            <w:pPr>
              <w:jc w:val="center"/>
              <w:rPr>
                <w:rFonts w:ascii="Arial" w:hAnsi="Arial" w:cs="Arial"/>
                <w:b/>
                <w:bCs/>
                <w:sz w:val="20"/>
                <w:szCs w:val="20"/>
              </w:rPr>
            </w:pPr>
            <w:r>
              <w:rPr>
                <w:rFonts w:ascii="Arial" w:hAnsi="Arial" w:cs="Arial"/>
                <w:b/>
                <w:bCs/>
                <w:sz w:val="20"/>
                <w:szCs w:val="20"/>
              </w:rPr>
              <w:t>4</w:t>
            </w:r>
          </w:p>
        </w:tc>
        <w:tc>
          <w:tcPr>
            <w:tcW w:w="1980" w:type="dxa"/>
            <w:vAlign w:val="bottom"/>
            <w:hideMark/>
          </w:tcPr>
          <w:p w:rsidR="00254899" w:rsidRDefault="00254899">
            <w:pPr>
              <w:jc w:val="center"/>
              <w:rPr>
                <w:rFonts w:ascii="Arial" w:hAnsi="Arial" w:cs="Arial"/>
                <w:sz w:val="20"/>
                <w:szCs w:val="20"/>
              </w:rPr>
            </w:pPr>
            <w:r>
              <w:rPr>
                <w:rFonts w:ascii="Arial" w:hAnsi="Arial" w:cs="Arial"/>
                <w:sz w:val="20"/>
                <w:szCs w:val="20"/>
              </w:rPr>
              <w:t>&gt;0.093 to &lt; 0.372</w:t>
            </w:r>
          </w:p>
        </w:tc>
      </w:tr>
      <w:tr w:rsidR="00254899" w:rsidTr="00254899">
        <w:trPr>
          <w:jc w:val="center"/>
        </w:trPr>
        <w:tc>
          <w:tcPr>
            <w:tcW w:w="1728" w:type="dxa"/>
            <w:vAlign w:val="bottom"/>
            <w:hideMark/>
          </w:tcPr>
          <w:p w:rsidR="00254899" w:rsidRDefault="00254899">
            <w:pPr>
              <w:jc w:val="center"/>
              <w:rPr>
                <w:rFonts w:ascii="Arial" w:hAnsi="Arial" w:cs="Arial"/>
                <w:sz w:val="20"/>
                <w:szCs w:val="20"/>
              </w:rPr>
            </w:pPr>
            <w:r>
              <w:rPr>
                <w:rFonts w:ascii="Arial" w:hAnsi="Arial" w:cs="Arial"/>
                <w:sz w:val="20"/>
                <w:szCs w:val="20"/>
              </w:rPr>
              <w:t>4 to &lt; 8</w:t>
            </w:r>
          </w:p>
        </w:tc>
        <w:tc>
          <w:tcPr>
            <w:tcW w:w="1800" w:type="dxa"/>
            <w:vAlign w:val="bottom"/>
            <w:hideMark/>
          </w:tcPr>
          <w:p w:rsidR="00254899" w:rsidRDefault="00254899">
            <w:pPr>
              <w:jc w:val="center"/>
              <w:rPr>
                <w:rFonts w:ascii="Arial" w:hAnsi="Arial" w:cs="Arial"/>
                <w:b/>
                <w:bCs/>
                <w:sz w:val="20"/>
                <w:szCs w:val="20"/>
              </w:rPr>
            </w:pPr>
            <w:r>
              <w:rPr>
                <w:rFonts w:ascii="Arial" w:hAnsi="Arial" w:cs="Arial"/>
                <w:b/>
                <w:bCs/>
                <w:sz w:val="20"/>
                <w:szCs w:val="20"/>
              </w:rPr>
              <w:t>6</w:t>
            </w:r>
          </w:p>
        </w:tc>
        <w:tc>
          <w:tcPr>
            <w:tcW w:w="1980" w:type="dxa"/>
            <w:vAlign w:val="bottom"/>
            <w:hideMark/>
          </w:tcPr>
          <w:p w:rsidR="00254899" w:rsidRDefault="00254899">
            <w:pPr>
              <w:jc w:val="center"/>
              <w:rPr>
                <w:rFonts w:ascii="Arial" w:hAnsi="Arial" w:cs="Arial"/>
                <w:sz w:val="20"/>
                <w:szCs w:val="20"/>
              </w:rPr>
            </w:pPr>
            <w:r>
              <w:rPr>
                <w:rFonts w:ascii="Arial" w:hAnsi="Arial" w:cs="Arial"/>
                <w:sz w:val="20"/>
                <w:szCs w:val="20"/>
              </w:rPr>
              <w:t>0.372 to &lt; 0.743</w:t>
            </w:r>
          </w:p>
        </w:tc>
      </w:tr>
      <w:tr w:rsidR="00254899" w:rsidTr="00254899">
        <w:trPr>
          <w:jc w:val="center"/>
        </w:trPr>
        <w:tc>
          <w:tcPr>
            <w:tcW w:w="1728" w:type="dxa"/>
            <w:vAlign w:val="bottom"/>
            <w:hideMark/>
          </w:tcPr>
          <w:p w:rsidR="00254899" w:rsidRDefault="00254899">
            <w:pPr>
              <w:jc w:val="center"/>
              <w:rPr>
                <w:rFonts w:ascii="Arial" w:hAnsi="Arial" w:cs="Arial"/>
                <w:sz w:val="20"/>
                <w:szCs w:val="20"/>
              </w:rPr>
            </w:pPr>
            <w:r>
              <w:rPr>
                <w:rFonts w:ascii="Arial" w:hAnsi="Arial" w:cs="Arial"/>
                <w:sz w:val="20"/>
                <w:szCs w:val="20"/>
              </w:rPr>
              <w:t>8 to &lt; 12</w:t>
            </w:r>
          </w:p>
        </w:tc>
        <w:tc>
          <w:tcPr>
            <w:tcW w:w="1800" w:type="dxa"/>
            <w:vAlign w:val="bottom"/>
            <w:hideMark/>
          </w:tcPr>
          <w:p w:rsidR="00254899" w:rsidRDefault="00254899">
            <w:pPr>
              <w:jc w:val="center"/>
              <w:rPr>
                <w:rFonts w:ascii="Arial" w:hAnsi="Arial" w:cs="Arial"/>
                <w:b/>
                <w:bCs/>
                <w:sz w:val="20"/>
                <w:szCs w:val="20"/>
              </w:rPr>
            </w:pPr>
            <w:r>
              <w:rPr>
                <w:rFonts w:ascii="Arial" w:hAnsi="Arial" w:cs="Arial"/>
                <w:b/>
                <w:bCs/>
                <w:sz w:val="20"/>
                <w:szCs w:val="20"/>
              </w:rPr>
              <w:t>8</w:t>
            </w:r>
          </w:p>
        </w:tc>
        <w:tc>
          <w:tcPr>
            <w:tcW w:w="1980" w:type="dxa"/>
            <w:vAlign w:val="bottom"/>
            <w:hideMark/>
          </w:tcPr>
          <w:p w:rsidR="00254899" w:rsidRDefault="00254899">
            <w:pPr>
              <w:jc w:val="center"/>
              <w:rPr>
                <w:rFonts w:ascii="Arial" w:hAnsi="Arial" w:cs="Arial"/>
                <w:sz w:val="20"/>
                <w:szCs w:val="20"/>
              </w:rPr>
            </w:pPr>
            <w:r>
              <w:rPr>
                <w:rFonts w:ascii="Arial" w:hAnsi="Arial" w:cs="Arial"/>
                <w:sz w:val="20"/>
                <w:szCs w:val="20"/>
              </w:rPr>
              <w:t>0.743 to &lt; 1.115</w:t>
            </w:r>
          </w:p>
        </w:tc>
      </w:tr>
      <w:tr w:rsidR="00254899" w:rsidTr="00254899">
        <w:trPr>
          <w:jc w:val="center"/>
        </w:trPr>
        <w:tc>
          <w:tcPr>
            <w:tcW w:w="1728" w:type="dxa"/>
            <w:vAlign w:val="bottom"/>
            <w:hideMark/>
          </w:tcPr>
          <w:p w:rsidR="00254899" w:rsidRDefault="00254899">
            <w:pPr>
              <w:jc w:val="center"/>
              <w:rPr>
                <w:rFonts w:ascii="Arial" w:hAnsi="Arial" w:cs="Arial"/>
                <w:sz w:val="20"/>
                <w:szCs w:val="20"/>
              </w:rPr>
            </w:pPr>
            <w:r>
              <w:rPr>
                <w:rFonts w:ascii="Arial" w:hAnsi="Arial" w:cs="Arial"/>
                <w:sz w:val="20"/>
                <w:szCs w:val="20"/>
              </w:rPr>
              <w:t>12 to &lt;16</w:t>
            </w:r>
          </w:p>
        </w:tc>
        <w:tc>
          <w:tcPr>
            <w:tcW w:w="1800" w:type="dxa"/>
            <w:vAlign w:val="bottom"/>
            <w:hideMark/>
          </w:tcPr>
          <w:p w:rsidR="00254899" w:rsidRDefault="00254899">
            <w:pPr>
              <w:jc w:val="center"/>
              <w:rPr>
                <w:rFonts w:ascii="Arial" w:hAnsi="Arial" w:cs="Arial"/>
                <w:b/>
                <w:bCs/>
                <w:sz w:val="20"/>
                <w:szCs w:val="20"/>
              </w:rPr>
            </w:pPr>
            <w:r>
              <w:rPr>
                <w:rFonts w:ascii="Arial" w:hAnsi="Arial" w:cs="Arial"/>
                <w:b/>
                <w:bCs/>
                <w:sz w:val="20"/>
                <w:szCs w:val="20"/>
              </w:rPr>
              <w:t>12</w:t>
            </w:r>
          </w:p>
        </w:tc>
        <w:tc>
          <w:tcPr>
            <w:tcW w:w="1980" w:type="dxa"/>
            <w:vAlign w:val="bottom"/>
            <w:hideMark/>
          </w:tcPr>
          <w:p w:rsidR="00254899" w:rsidRDefault="00254899">
            <w:pPr>
              <w:jc w:val="center"/>
              <w:rPr>
                <w:rFonts w:ascii="Arial" w:hAnsi="Arial" w:cs="Arial"/>
                <w:sz w:val="20"/>
                <w:szCs w:val="20"/>
              </w:rPr>
            </w:pPr>
            <w:r>
              <w:rPr>
                <w:rFonts w:ascii="Arial" w:hAnsi="Arial" w:cs="Arial"/>
                <w:sz w:val="20"/>
                <w:szCs w:val="20"/>
              </w:rPr>
              <w:t>1.115 to &lt; 1.486</w:t>
            </w:r>
          </w:p>
        </w:tc>
      </w:tr>
      <w:tr w:rsidR="00254899" w:rsidTr="00254899">
        <w:trPr>
          <w:jc w:val="center"/>
        </w:trPr>
        <w:tc>
          <w:tcPr>
            <w:tcW w:w="1728" w:type="dxa"/>
            <w:vAlign w:val="bottom"/>
            <w:hideMark/>
          </w:tcPr>
          <w:p w:rsidR="00254899" w:rsidRDefault="00254899">
            <w:pPr>
              <w:jc w:val="center"/>
              <w:rPr>
                <w:rFonts w:ascii="Arial" w:hAnsi="Arial" w:cs="Arial"/>
                <w:sz w:val="20"/>
                <w:szCs w:val="20"/>
              </w:rPr>
            </w:pPr>
            <w:r>
              <w:rPr>
                <w:rFonts w:ascii="Arial" w:hAnsi="Arial" w:cs="Arial"/>
                <w:sz w:val="20"/>
                <w:szCs w:val="20"/>
              </w:rPr>
              <w:t>&gt;=16</w:t>
            </w:r>
          </w:p>
        </w:tc>
        <w:tc>
          <w:tcPr>
            <w:tcW w:w="1800" w:type="dxa"/>
            <w:vAlign w:val="bottom"/>
            <w:hideMark/>
          </w:tcPr>
          <w:p w:rsidR="00254899" w:rsidRDefault="00254899">
            <w:pPr>
              <w:jc w:val="center"/>
              <w:rPr>
                <w:rFonts w:ascii="Arial" w:hAnsi="Arial" w:cs="Arial"/>
                <w:b/>
                <w:bCs/>
                <w:sz w:val="20"/>
                <w:szCs w:val="20"/>
              </w:rPr>
            </w:pPr>
            <w:r>
              <w:rPr>
                <w:rFonts w:ascii="Arial" w:hAnsi="Arial" w:cs="Arial"/>
                <w:b/>
                <w:bCs/>
                <w:sz w:val="20"/>
                <w:szCs w:val="20"/>
              </w:rPr>
              <w:t>16</w:t>
            </w:r>
          </w:p>
        </w:tc>
        <w:tc>
          <w:tcPr>
            <w:tcW w:w="1980" w:type="dxa"/>
            <w:vAlign w:val="bottom"/>
            <w:hideMark/>
          </w:tcPr>
          <w:p w:rsidR="00254899" w:rsidRDefault="00254899">
            <w:pPr>
              <w:jc w:val="center"/>
              <w:rPr>
                <w:rFonts w:ascii="Arial" w:hAnsi="Arial" w:cs="Arial"/>
                <w:sz w:val="20"/>
                <w:szCs w:val="20"/>
              </w:rPr>
            </w:pPr>
            <w:r>
              <w:rPr>
                <w:rFonts w:ascii="Arial" w:hAnsi="Arial" w:cs="Arial"/>
                <w:sz w:val="20"/>
                <w:szCs w:val="20"/>
              </w:rPr>
              <w:t>&gt;= 1.486</w:t>
            </w:r>
          </w:p>
        </w:tc>
      </w:tr>
    </w:tbl>
    <w:p w:rsidR="00254899" w:rsidRDefault="00254899" w:rsidP="00254899">
      <w:pPr>
        <w:ind w:left="3960" w:hanging="720"/>
        <w:rPr>
          <w:rFonts w:ascii="Arial" w:hAnsi="Arial" w:cs="Arial"/>
          <w:sz w:val="20"/>
          <w:szCs w:val="20"/>
        </w:rPr>
      </w:pPr>
    </w:p>
    <w:p w:rsidR="00254899" w:rsidRDefault="00254899" w:rsidP="00254899">
      <w:pPr>
        <w:ind w:left="1800" w:hanging="360"/>
        <w:rPr>
          <w:rFonts w:ascii="Arial" w:hAnsi="Arial" w:cs="Arial"/>
          <w:sz w:val="20"/>
          <w:szCs w:val="20"/>
        </w:rPr>
      </w:pPr>
      <w:r>
        <w:rPr>
          <w:rFonts w:ascii="Arial" w:hAnsi="Arial" w:cs="Arial"/>
          <w:sz w:val="20"/>
          <w:szCs w:val="20"/>
        </w:rPr>
        <w:t>c)   The number of individual sensor nodes for each rectangular location shall be maximized for performance within the placement conditions provided.  In no instance shall field selected locations provide less distance between disturbances than required for maximum performance.  When minimum distances allowed by the highest density of sensor distribution are exceeded, a lower density configuration that provides the same performance is acceptable.</w:t>
      </w:r>
    </w:p>
    <w:p w:rsidR="00254899" w:rsidRDefault="00254899" w:rsidP="00254899">
      <w:pPr>
        <w:ind w:left="1800" w:hanging="360"/>
        <w:rPr>
          <w:rFonts w:ascii="Arial" w:hAnsi="Arial" w:cs="Arial"/>
          <w:sz w:val="20"/>
          <w:szCs w:val="20"/>
        </w:rPr>
      </w:pPr>
      <w:r>
        <w:rPr>
          <w:rFonts w:ascii="Arial" w:hAnsi="Arial" w:cs="Arial"/>
          <w:sz w:val="20"/>
          <w:szCs w:val="20"/>
        </w:rPr>
        <w:t>d)   The number of individual sensor nodes provided for each round or oval duct location shall approximate the total required for rectangular locations or be detailed in published documentation by the manufacturer.</w:t>
      </w:r>
    </w:p>
    <w:p w:rsidR="00254899" w:rsidRDefault="00254899" w:rsidP="00254899">
      <w:pPr>
        <w:ind w:left="1800" w:hanging="360"/>
        <w:rPr>
          <w:rFonts w:ascii="Arial" w:hAnsi="Arial" w:cs="Arial"/>
          <w:sz w:val="20"/>
          <w:szCs w:val="20"/>
        </w:rPr>
      </w:pPr>
      <w:r>
        <w:rPr>
          <w:rFonts w:ascii="Arial" w:hAnsi="Arial" w:cs="Arial"/>
          <w:sz w:val="20"/>
          <w:szCs w:val="20"/>
        </w:rPr>
        <w:t>e)   Submittal documents shall include schedules indicating the number of sensors per location, the duct area and the equivalent density (#/area) for approval.</w:t>
      </w:r>
    </w:p>
    <w:p w:rsidR="00254899" w:rsidRDefault="00254899" w:rsidP="00254899">
      <w:pPr>
        <w:ind w:left="1440" w:hanging="360"/>
        <w:rPr>
          <w:rFonts w:ascii="Arial" w:hAnsi="Arial" w:cs="Arial"/>
          <w:sz w:val="20"/>
          <w:szCs w:val="20"/>
        </w:rPr>
      </w:pPr>
      <w:r>
        <w:rPr>
          <w:rFonts w:ascii="Arial" w:hAnsi="Arial" w:cs="Arial"/>
          <w:sz w:val="20"/>
          <w:szCs w:val="20"/>
        </w:rPr>
        <w:t>6.   Thermistors shall be potted in an engineering thermoplastic assembly using water-proof, marine epoxy and shall not be damaged by moisture or direct contact with water.</w:t>
      </w:r>
    </w:p>
    <w:p w:rsidR="00254899" w:rsidRDefault="00254899" w:rsidP="00254899">
      <w:pPr>
        <w:ind w:left="1440" w:hanging="360"/>
        <w:rPr>
          <w:rFonts w:ascii="Arial" w:hAnsi="Arial" w:cs="Arial"/>
          <w:sz w:val="20"/>
          <w:szCs w:val="20"/>
        </w:rPr>
      </w:pPr>
      <w:r>
        <w:rPr>
          <w:rFonts w:ascii="Arial" w:hAnsi="Arial" w:cs="Arial"/>
          <w:sz w:val="20"/>
          <w:szCs w:val="20"/>
        </w:rPr>
        <w:t>7.   Signal processing circuitry on or in the sensor probe is not acceptable.</w:t>
      </w:r>
    </w:p>
    <w:p w:rsidR="00254899" w:rsidRDefault="00254899" w:rsidP="00254899">
      <w:pPr>
        <w:ind w:left="1440" w:hanging="360"/>
        <w:rPr>
          <w:rFonts w:ascii="Arial" w:hAnsi="Arial" w:cs="Arial"/>
          <w:sz w:val="20"/>
          <w:szCs w:val="20"/>
        </w:rPr>
      </w:pPr>
      <w:r>
        <w:rPr>
          <w:rFonts w:ascii="Arial" w:hAnsi="Arial" w:cs="Arial"/>
          <w:sz w:val="20"/>
          <w:szCs w:val="20"/>
        </w:rPr>
        <w:t>8.   Each sensing node shall be individually wind tunnel calibrated at 16 points to NIST traceable airflow standards.</w:t>
      </w:r>
    </w:p>
    <w:p w:rsidR="00254899" w:rsidRDefault="00254899" w:rsidP="00254899">
      <w:pPr>
        <w:ind w:left="1440" w:hanging="360"/>
        <w:rPr>
          <w:rFonts w:ascii="Arial" w:hAnsi="Arial" w:cs="Arial"/>
          <w:sz w:val="20"/>
          <w:szCs w:val="20"/>
        </w:rPr>
      </w:pPr>
      <w:r>
        <w:rPr>
          <w:rFonts w:ascii="Arial" w:hAnsi="Arial" w:cs="Arial"/>
          <w:sz w:val="20"/>
          <w:szCs w:val="20"/>
        </w:rPr>
        <w:t>9.   Each sensing node shall be individually calibrated in constant temperature oil baths at 3 points to NIST traceable temperature standards.</w:t>
      </w:r>
    </w:p>
    <w:p w:rsidR="00254899" w:rsidRDefault="00254899" w:rsidP="00254899">
      <w:pPr>
        <w:ind w:left="1440" w:hanging="360"/>
        <w:rPr>
          <w:rFonts w:ascii="Arial" w:hAnsi="Arial" w:cs="Arial"/>
          <w:sz w:val="20"/>
          <w:szCs w:val="20"/>
        </w:rPr>
      </w:pPr>
      <w:r>
        <w:rPr>
          <w:rFonts w:ascii="Arial" w:hAnsi="Arial" w:cs="Arial"/>
          <w:sz w:val="20"/>
          <w:szCs w:val="20"/>
        </w:rPr>
        <w:t>10.  All internal wiring between thermistors and probe connecting cables shall be Kynar jacketed.</w:t>
      </w:r>
    </w:p>
    <w:p w:rsidR="00254899" w:rsidRDefault="00254899" w:rsidP="00254899">
      <w:pPr>
        <w:ind w:left="1440" w:hanging="360"/>
        <w:rPr>
          <w:rFonts w:ascii="Arial" w:hAnsi="Arial" w:cs="Arial"/>
          <w:sz w:val="20"/>
          <w:szCs w:val="20"/>
        </w:rPr>
      </w:pPr>
      <w:r>
        <w:rPr>
          <w:rFonts w:ascii="Arial" w:hAnsi="Arial" w:cs="Arial"/>
          <w:sz w:val="20"/>
          <w:szCs w:val="20"/>
        </w:rPr>
        <w:t>11.  Manufacturer shall provide UL listed, FEP jacketed, plenum rated cable(s) between sensor probes and the remote transmitter.</w:t>
      </w:r>
    </w:p>
    <w:p w:rsidR="00254899" w:rsidRDefault="00254899" w:rsidP="00254899">
      <w:pPr>
        <w:numPr>
          <w:ilvl w:val="0"/>
          <w:numId w:val="1"/>
        </w:numPr>
        <w:rPr>
          <w:rFonts w:ascii="Arial" w:hAnsi="Arial" w:cs="Arial"/>
          <w:sz w:val="20"/>
          <w:szCs w:val="20"/>
        </w:rPr>
      </w:pPr>
      <w:r>
        <w:rPr>
          <w:rFonts w:ascii="Arial" w:hAnsi="Arial" w:cs="Arial"/>
          <w:sz w:val="20"/>
          <w:szCs w:val="20"/>
        </w:rPr>
        <w:t>Measurement Performance</w:t>
      </w:r>
    </w:p>
    <w:p w:rsidR="00254899" w:rsidRDefault="00254899" w:rsidP="00254899">
      <w:pPr>
        <w:ind w:left="1440" w:hanging="360"/>
        <w:rPr>
          <w:rFonts w:ascii="Arial" w:hAnsi="Arial" w:cs="Arial"/>
          <w:sz w:val="20"/>
          <w:szCs w:val="20"/>
        </w:rPr>
      </w:pPr>
      <w:r>
        <w:rPr>
          <w:rFonts w:ascii="Arial" w:hAnsi="Arial" w:cs="Arial"/>
          <w:sz w:val="20"/>
          <w:szCs w:val="20"/>
        </w:rPr>
        <w:t xml:space="preserve">1.   Each sensing node shall have a temperature accuracy of ± 0.14°F (0.08°C) over the entire operating temperature range of -20°F to 160°F (-28.9°C to 71°C). </w:t>
      </w:r>
    </w:p>
    <w:p w:rsidR="00254899" w:rsidRDefault="00254899" w:rsidP="00254899">
      <w:pPr>
        <w:ind w:left="1080"/>
        <w:rPr>
          <w:rFonts w:ascii="Arial" w:hAnsi="Arial" w:cs="Arial"/>
          <w:sz w:val="20"/>
          <w:szCs w:val="20"/>
        </w:rPr>
      </w:pPr>
      <w:r>
        <w:rPr>
          <w:rFonts w:ascii="Arial" w:hAnsi="Arial" w:cs="Arial"/>
          <w:sz w:val="20"/>
          <w:szCs w:val="20"/>
        </w:rPr>
        <w:t>2.   Each sensing node shall have an airflow accuracy of ± 2% of reading.</w:t>
      </w:r>
    </w:p>
    <w:p w:rsidR="00254899" w:rsidRDefault="00254899" w:rsidP="00254899">
      <w:pPr>
        <w:ind w:left="1440" w:hanging="360"/>
        <w:rPr>
          <w:rFonts w:ascii="Arial" w:hAnsi="Arial" w:cs="Arial"/>
          <w:sz w:val="20"/>
          <w:szCs w:val="20"/>
        </w:rPr>
      </w:pPr>
      <w:r>
        <w:rPr>
          <w:rFonts w:ascii="Arial" w:hAnsi="Arial" w:cs="Arial"/>
          <w:sz w:val="20"/>
          <w:szCs w:val="20"/>
        </w:rPr>
        <w:t xml:space="preserve">3.   The ATMD shall be capable of measuring airflow rates over the full range of 0 to 5,000 FPM (25.4 m/s) between -20°F to 160°F (-28.9°C to 71°C). </w:t>
      </w:r>
    </w:p>
    <w:p w:rsidR="00254899" w:rsidRDefault="00254899" w:rsidP="00254899">
      <w:pPr>
        <w:numPr>
          <w:ilvl w:val="0"/>
          <w:numId w:val="1"/>
        </w:numPr>
        <w:rPr>
          <w:rFonts w:ascii="Arial" w:hAnsi="Arial" w:cs="Arial"/>
          <w:sz w:val="20"/>
          <w:szCs w:val="20"/>
        </w:rPr>
      </w:pPr>
      <w:r>
        <w:rPr>
          <w:rFonts w:ascii="Arial" w:hAnsi="Arial" w:cs="Arial"/>
          <w:sz w:val="20"/>
          <w:szCs w:val="20"/>
        </w:rPr>
        <w:t>Integral Transmitter and Communications</w:t>
      </w:r>
    </w:p>
    <w:p w:rsidR="00254899" w:rsidRDefault="00254899" w:rsidP="00254899">
      <w:pPr>
        <w:ind w:left="1440" w:hanging="360"/>
        <w:rPr>
          <w:rFonts w:ascii="Arial" w:hAnsi="Arial" w:cs="Arial"/>
          <w:sz w:val="20"/>
          <w:szCs w:val="20"/>
        </w:rPr>
      </w:pPr>
      <w:r>
        <w:rPr>
          <w:rFonts w:ascii="Arial" w:hAnsi="Arial" w:cs="Arial"/>
          <w:sz w:val="20"/>
          <w:szCs w:val="20"/>
        </w:rPr>
        <w:t>1.   The transmitter shall be powered by 24 VAC, be over-voltage and over-current protected, and have a watchdog circuit to provide continuous operation after power failures and/or brown-outs.</w:t>
      </w:r>
    </w:p>
    <w:p w:rsidR="00254899" w:rsidRDefault="00254899" w:rsidP="00254899">
      <w:pPr>
        <w:ind w:left="1440" w:hanging="360"/>
        <w:rPr>
          <w:rFonts w:ascii="Arial" w:hAnsi="Arial" w:cs="Arial"/>
          <w:sz w:val="20"/>
          <w:szCs w:val="20"/>
        </w:rPr>
      </w:pPr>
      <w:r>
        <w:rPr>
          <w:rFonts w:ascii="Arial" w:hAnsi="Arial" w:cs="Arial"/>
          <w:sz w:val="20"/>
          <w:szCs w:val="20"/>
        </w:rPr>
        <w:t>2.   The power requirement for the ATMD shall not exceed 22 V-A.</w:t>
      </w:r>
    </w:p>
    <w:p w:rsidR="00254899" w:rsidRDefault="00254899" w:rsidP="00254899">
      <w:pPr>
        <w:ind w:left="1440" w:hanging="360"/>
        <w:rPr>
          <w:rFonts w:ascii="Arial" w:hAnsi="Arial" w:cs="Arial"/>
          <w:sz w:val="20"/>
          <w:szCs w:val="20"/>
        </w:rPr>
      </w:pPr>
      <w:r>
        <w:rPr>
          <w:rFonts w:ascii="Arial" w:hAnsi="Arial" w:cs="Arial"/>
          <w:sz w:val="20"/>
          <w:szCs w:val="20"/>
        </w:rPr>
        <w:t>3.   The transmitter shall determine the airflow rate and temperature of each sensing node prior to averaging.</w:t>
      </w:r>
    </w:p>
    <w:p w:rsidR="00254899" w:rsidRDefault="00254899" w:rsidP="00254899">
      <w:pPr>
        <w:ind w:left="1440" w:hanging="360"/>
        <w:rPr>
          <w:rFonts w:ascii="Arial" w:hAnsi="Arial" w:cs="Arial"/>
          <w:sz w:val="20"/>
          <w:szCs w:val="20"/>
        </w:rPr>
      </w:pPr>
      <w:r>
        <w:rPr>
          <w:rFonts w:ascii="Arial" w:hAnsi="Arial" w:cs="Arial"/>
          <w:sz w:val="20"/>
          <w:szCs w:val="20"/>
        </w:rPr>
        <w:t>4.   The transmitter shall have two isolated and fused analog output signals and one RS-485 network connection.</w:t>
      </w:r>
    </w:p>
    <w:p w:rsidR="00254899" w:rsidRDefault="00254899" w:rsidP="00254899">
      <w:pPr>
        <w:ind w:left="1440" w:hanging="360"/>
        <w:rPr>
          <w:rFonts w:ascii="Arial" w:hAnsi="Arial" w:cs="Arial"/>
          <w:sz w:val="20"/>
          <w:szCs w:val="20"/>
        </w:rPr>
      </w:pPr>
      <w:r>
        <w:rPr>
          <w:rFonts w:ascii="Arial" w:hAnsi="Arial" w:cs="Arial"/>
          <w:sz w:val="20"/>
          <w:szCs w:val="20"/>
        </w:rPr>
        <w:t>5.   Each analog output shall be field configurable as linear 0-5 VDC, 0-10 VDC or 4-20mA signals.</w:t>
      </w:r>
    </w:p>
    <w:p w:rsidR="00254899" w:rsidRDefault="00254899" w:rsidP="00254899">
      <w:pPr>
        <w:ind w:left="1440" w:hanging="360"/>
        <w:rPr>
          <w:rFonts w:ascii="Arial" w:hAnsi="Arial" w:cs="Arial"/>
          <w:sz w:val="20"/>
          <w:szCs w:val="20"/>
        </w:rPr>
      </w:pPr>
      <w:r>
        <w:rPr>
          <w:rFonts w:ascii="Arial" w:hAnsi="Arial" w:cs="Arial"/>
          <w:sz w:val="20"/>
          <w:szCs w:val="20"/>
        </w:rPr>
        <w:t>6.   One analog output signal shall provide the average airflow rate.</w:t>
      </w:r>
    </w:p>
    <w:p w:rsidR="00254899" w:rsidRDefault="00254899" w:rsidP="00254899">
      <w:pPr>
        <w:ind w:left="1440" w:hanging="360"/>
        <w:rPr>
          <w:rFonts w:ascii="Arial" w:hAnsi="Arial" w:cs="Arial"/>
          <w:sz w:val="20"/>
          <w:szCs w:val="20"/>
        </w:rPr>
      </w:pPr>
      <w:r>
        <w:rPr>
          <w:rFonts w:ascii="Arial" w:hAnsi="Arial" w:cs="Arial"/>
          <w:sz w:val="20"/>
          <w:szCs w:val="20"/>
        </w:rPr>
        <w:t>7.   One analog output signal shall be field configurable to output the average temperature, the velocity weighted temperature or a binary airflow alarm.</w:t>
      </w:r>
    </w:p>
    <w:p w:rsidR="00254899" w:rsidRDefault="00254899" w:rsidP="00254899">
      <w:pPr>
        <w:ind w:left="1440" w:hanging="360"/>
        <w:rPr>
          <w:rFonts w:ascii="Arial" w:hAnsi="Arial" w:cs="Arial"/>
          <w:sz w:val="20"/>
          <w:szCs w:val="20"/>
        </w:rPr>
      </w:pPr>
      <w:r>
        <w:rPr>
          <w:rFonts w:ascii="Arial" w:hAnsi="Arial" w:cs="Arial"/>
          <w:sz w:val="20"/>
          <w:szCs w:val="20"/>
        </w:rPr>
        <w:t>8.   The RS-485 network connection shall be field configurable as BACnet MS/TP or Modbus RTU.</w:t>
      </w:r>
    </w:p>
    <w:p w:rsidR="00254899" w:rsidRDefault="00254899" w:rsidP="00254899">
      <w:pPr>
        <w:ind w:left="1440" w:hanging="360"/>
        <w:rPr>
          <w:rFonts w:ascii="Arial" w:hAnsi="Arial" w:cs="Arial"/>
          <w:sz w:val="20"/>
          <w:szCs w:val="20"/>
        </w:rPr>
      </w:pPr>
      <w:r>
        <w:rPr>
          <w:rFonts w:ascii="Arial" w:hAnsi="Arial" w:cs="Arial"/>
          <w:sz w:val="20"/>
          <w:szCs w:val="20"/>
        </w:rPr>
        <w:t>9.   The RS-485 connections shall be capable of transmitting the average airflow rate, average temperature, individual airflow rates of each sensor node, and individual temperatures of each sensor node and system status.</w:t>
      </w:r>
    </w:p>
    <w:p w:rsidR="00254899" w:rsidRDefault="00254899" w:rsidP="00254899">
      <w:pPr>
        <w:ind w:left="1440" w:hanging="360"/>
        <w:rPr>
          <w:rFonts w:ascii="Arial" w:hAnsi="Arial" w:cs="Arial"/>
          <w:sz w:val="20"/>
          <w:szCs w:val="20"/>
        </w:rPr>
      </w:pPr>
      <w:r>
        <w:rPr>
          <w:rFonts w:ascii="Arial" w:hAnsi="Arial" w:cs="Arial"/>
          <w:sz w:val="20"/>
          <w:szCs w:val="20"/>
        </w:rPr>
        <w:lastRenderedPageBreak/>
        <w:t>10.  All integrated circuits shall be industrial rated for operation down to -40°F (-40°C).</w:t>
      </w:r>
    </w:p>
    <w:p w:rsidR="00254899" w:rsidRDefault="00254899" w:rsidP="00254899">
      <w:pPr>
        <w:ind w:left="1440" w:hanging="360"/>
        <w:rPr>
          <w:rFonts w:ascii="Arial" w:hAnsi="Arial" w:cs="Arial"/>
          <w:sz w:val="20"/>
          <w:szCs w:val="20"/>
        </w:rPr>
      </w:pPr>
      <w:r>
        <w:rPr>
          <w:rFonts w:ascii="Arial" w:hAnsi="Arial" w:cs="Arial"/>
          <w:sz w:val="20"/>
          <w:szCs w:val="20"/>
        </w:rPr>
        <w:t>11.  All electrical plugs, receptacles and circuit board interconnects shall be gold plated.</w:t>
      </w:r>
    </w:p>
    <w:p w:rsidR="00254899" w:rsidRDefault="00254899" w:rsidP="00254899">
      <w:pPr>
        <w:ind w:left="1080" w:hanging="360"/>
        <w:rPr>
          <w:rFonts w:ascii="Arial" w:hAnsi="Arial" w:cs="Arial"/>
          <w:sz w:val="20"/>
          <w:szCs w:val="20"/>
        </w:rPr>
      </w:pPr>
      <w:r>
        <w:rPr>
          <w:rFonts w:ascii="Arial" w:hAnsi="Arial" w:cs="Arial"/>
          <w:sz w:val="20"/>
          <w:szCs w:val="20"/>
        </w:rPr>
        <w:t>D.   Listings and Certifications</w:t>
      </w:r>
    </w:p>
    <w:p w:rsidR="00254899" w:rsidRDefault="00254899" w:rsidP="00254899">
      <w:pPr>
        <w:ind w:left="1440" w:hanging="360"/>
        <w:rPr>
          <w:rFonts w:ascii="Arial" w:hAnsi="Arial" w:cs="Arial"/>
          <w:sz w:val="20"/>
          <w:szCs w:val="20"/>
        </w:rPr>
      </w:pPr>
      <w:r>
        <w:rPr>
          <w:rFonts w:ascii="Arial" w:hAnsi="Arial" w:cs="Arial"/>
          <w:sz w:val="20"/>
          <w:szCs w:val="20"/>
        </w:rPr>
        <w:t>1.   The ATMD shall be UL 973 listed.</w:t>
      </w:r>
    </w:p>
    <w:p w:rsidR="00254899" w:rsidRDefault="00254899" w:rsidP="00254899">
      <w:pPr>
        <w:ind w:left="1440" w:hanging="360"/>
        <w:rPr>
          <w:rFonts w:ascii="Arial" w:hAnsi="Arial" w:cs="Arial"/>
          <w:sz w:val="20"/>
          <w:szCs w:val="20"/>
        </w:rPr>
      </w:pPr>
      <w:r>
        <w:rPr>
          <w:rFonts w:ascii="Arial" w:hAnsi="Arial" w:cs="Arial"/>
          <w:sz w:val="20"/>
          <w:szCs w:val="20"/>
        </w:rPr>
        <w:t>2.   The ATMD shall be BTL listed.</w:t>
      </w:r>
    </w:p>
    <w:p w:rsidR="00254899" w:rsidRDefault="00254899" w:rsidP="00254899">
      <w:pPr>
        <w:ind w:left="1440" w:hanging="360"/>
        <w:rPr>
          <w:rFonts w:ascii="Arial" w:hAnsi="Arial" w:cs="Arial"/>
          <w:sz w:val="20"/>
          <w:szCs w:val="20"/>
        </w:rPr>
      </w:pPr>
      <w:r>
        <w:rPr>
          <w:rFonts w:ascii="Arial" w:hAnsi="Arial" w:cs="Arial"/>
          <w:sz w:val="20"/>
          <w:szCs w:val="20"/>
        </w:rPr>
        <w:t>3.   The ATMD shall carry CE Mark for European shipments indicating successful satisfaction of all requirements contained in the EMC Directives, or when otherwise required in the destination country.</w:t>
      </w:r>
    </w:p>
    <w:p w:rsidR="00254899" w:rsidRDefault="00254899" w:rsidP="00254899">
      <w:pPr>
        <w:ind w:left="1080" w:hanging="360"/>
        <w:rPr>
          <w:rFonts w:ascii="Arial" w:hAnsi="Arial" w:cs="Arial"/>
          <w:sz w:val="20"/>
          <w:szCs w:val="20"/>
        </w:rPr>
      </w:pPr>
      <w:r>
        <w:rPr>
          <w:rFonts w:ascii="Arial" w:hAnsi="Arial" w:cs="Arial"/>
          <w:sz w:val="20"/>
          <w:szCs w:val="20"/>
        </w:rPr>
        <w:t xml:space="preserve">E.   The manufacturer’s authorized representative shall review and approve placement and operating airflow rates for each measurement location indicated on the plans, prior to fabrication and installation.  </w:t>
      </w:r>
    </w:p>
    <w:p w:rsidR="00254899" w:rsidRDefault="00254899" w:rsidP="00254899">
      <w:pPr>
        <w:ind w:left="1440" w:hanging="360"/>
        <w:rPr>
          <w:rFonts w:ascii="Arial" w:hAnsi="Arial" w:cs="Arial"/>
          <w:sz w:val="20"/>
          <w:szCs w:val="20"/>
        </w:rPr>
      </w:pPr>
      <w:r>
        <w:rPr>
          <w:rFonts w:ascii="Arial" w:hAnsi="Arial" w:cs="Arial"/>
          <w:sz w:val="20"/>
          <w:szCs w:val="20"/>
        </w:rPr>
        <w:t>1.   A written report shall be submitted to the consulting mechanical engineer if any measurement locations do not meet the manufacturer’s placement requirements.</w:t>
      </w:r>
    </w:p>
    <w:p w:rsidR="00E61587" w:rsidRDefault="00E61587" w:rsidP="00E61587">
      <w:pPr>
        <w:rPr>
          <w:rFonts w:ascii="Arial" w:hAnsi="Arial" w:cs="Arial"/>
          <w:sz w:val="20"/>
          <w:szCs w:val="20"/>
        </w:rPr>
      </w:pPr>
      <w:r>
        <w:rPr>
          <w:rFonts w:ascii="Arial" w:hAnsi="Arial" w:cs="Arial"/>
          <w:sz w:val="20"/>
          <w:szCs w:val="20"/>
        </w:rPr>
        <w:tab/>
        <w:t xml:space="preserve">F.  Ebtron manufacture representative: </w:t>
      </w:r>
      <w:r w:rsidRPr="00E61587">
        <w:rPr>
          <w:rFonts w:ascii="Arial" w:hAnsi="Arial" w:cs="Arial"/>
          <w:sz w:val="20"/>
          <w:szCs w:val="20"/>
        </w:rPr>
        <w:t>Bluefield Engineered Systems</w:t>
      </w:r>
      <w:r>
        <w:rPr>
          <w:rFonts w:ascii="Arial" w:hAnsi="Arial" w:cs="Arial"/>
          <w:sz w:val="20"/>
          <w:szCs w:val="20"/>
        </w:rPr>
        <w:t>, 888 445-HVAC (4822)</w:t>
      </w:r>
    </w:p>
    <w:p w:rsidR="00DF3BC9" w:rsidRDefault="00DF3BC9">
      <w:bookmarkStart w:id="0" w:name="_GoBack"/>
      <w:bookmarkEnd w:id="0"/>
    </w:p>
    <w:sectPr w:rsidR="00DF3BC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03FFA"/>
    <w:multiLevelType w:val="hybridMultilevel"/>
    <w:tmpl w:val="3BF82AAE"/>
    <w:lvl w:ilvl="0" w:tplc="3E90A6A4">
      <w:start w:val="2"/>
      <w:numFmt w:val="upperLetter"/>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4899"/>
    <w:rsid w:val="00254899"/>
    <w:rsid w:val="00D23E49"/>
    <w:rsid w:val="00DF3BC9"/>
    <w:rsid w:val="00E6158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4899"/>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basedOn w:val="Normal"/>
    <w:rsid w:val="00254899"/>
    <w:pPr>
      <w:autoSpaceDE w:val="0"/>
      <w:autoSpaceDN w:val="0"/>
    </w:pPr>
    <w:rPr>
      <w:color w:val="000000"/>
    </w:rPr>
  </w:style>
  <w:style w:type="paragraph" w:customStyle="1" w:styleId="pr4">
    <w:name w:val="pr4"/>
    <w:basedOn w:val="Normal"/>
    <w:rsid w:val="00254899"/>
    <w:pPr>
      <w:jc w:val="both"/>
    </w:pPr>
    <w:rPr>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4899"/>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basedOn w:val="Normal"/>
    <w:rsid w:val="00254899"/>
    <w:pPr>
      <w:autoSpaceDE w:val="0"/>
      <w:autoSpaceDN w:val="0"/>
    </w:pPr>
    <w:rPr>
      <w:color w:val="000000"/>
    </w:rPr>
  </w:style>
  <w:style w:type="paragraph" w:customStyle="1" w:styleId="pr4">
    <w:name w:val="pr4"/>
    <w:basedOn w:val="Normal"/>
    <w:rsid w:val="00254899"/>
    <w:pPr>
      <w:jc w:val="both"/>
    </w:pPr>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97739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1117</Words>
  <Characters>6368</Characters>
  <Application>Microsoft Macintosh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7471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Greco</dc:creator>
  <cp:lastModifiedBy>Mark Blauvelt</cp:lastModifiedBy>
  <cp:revision>2</cp:revision>
  <dcterms:created xsi:type="dcterms:W3CDTF">2015-07-29T19:47:00Z</dcterms:created>
  <dcterms:modified xsi:type="dcterms:W3CDTF">2015-07-29T19:47:00Z</dcterms:modified>
</cp:coreProperties>
</file>